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B356B3" w:rsidRPr="00B356B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B356B3" w:rsidRPr="00B356B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на 2014-2015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356B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56B3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6" w:history="1">
        <w:r w:rsidRPr="00B35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Роскомнадзора по </w:t>
        </w:r>
        <w:r w:rsidR="00B356B3" w:rsidRPr="00B35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Дальневосточному </w:t>
        </w:r>
        <w:r w:rsidRPr="00B35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федеральному округу в 2015 году"</w:t>
        </w:r>
      </w:hyperlink>
      <w:r w:rsidRPr="00B356B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B356B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356B3" w:rsidRPr="00B356B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356B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proofErr w:type="gramEnd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356B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 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</w:t>
      </w:r>
      <w:proofErr w:type="gramEnd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закупок для нужд Управления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проводился </w:t>
      </w:r>
      <w:proofErr w:type="gramStart"/>
      <w:r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B356B3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 по </w:t>
      </w:r>
      <w:r w:rsidR="00B356B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="00B356B3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B356B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</w:t>
      </w:r>
      <w:r w:rsidR="00B356B3">
        <w:rPr>
          <w:rFonts w:ascii="Times New Roman" w:hAnsi="Times New Roman" w:cs="Times New Roman"/>
          <w:sz w:val="28"/>
          <w:szCs w:val="28"/>
        </w:rPr>
        <w:t>Дальневосточного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федерального округа и урегулированию конфликта интересов, </w:t>
      </w:r>
      <w:proofErr w:type="gramStart"/>
      <w:r w:rsidRPr="00F13A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3A99">
        <w:rPr>
          <w:rFonts w:ascii="Times New Roman" w:hAnsi="Times New Roman" w:cs="Times New Roman"/>
          <w:sz w:val="28"/>
          <w:szCs w:val="28"/>
        </w:rPr>
        <w:t xml:space="preserve"> исполнении Плана противодействия коррупции, о мерах направленных на реализацию антикоррупционного законодательства в установленные сроки направлены в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B356B3">
        <w:rPr>
          <w:rFonts w:ascii="Times New Roman" w:hAnsi="Times New Roman" w:cs="Times New Roman"/>
          <w:bCs/>
          <w:spacing w:val="-8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B356B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33223" w:rsidRPr="00F13A99" w:rsidRDefault="00833223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Приказом Управления утверждено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Положение «О сообщении государственными гражданскими служащими Управления Роскомнадзора по </w:t>
      </w:r>
      <w:r w:rsidR="00B356B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 зачислении средств, вырученных от его реализации».</w:t>
      </w:r>
    </w:p>
    <w:p w:rsidR="00833223" w:rsidRPr="00F13A99" w:rsidRDefault="00833223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Приказом Управления утвержден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</w:t>
      </w:r>
      <w:r w:rsidR="00B356B3">
        <w:rPr>
          <w:rFonts w:ascii="Times New Roman" w:hAnsi="Times New Roman" w:cs="Times New Roman"/>
          <w:bCs/>
          <w:color w:val="000000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федеральному округу, 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государственные служащие обязаны представлять сведения о своих доходах и расходах, об имуществе и обязательствах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имущественного характера, а также 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о 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доходах и расходах,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proofErr w:type="gramEnd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имуществе</w:t>
      </w:r>
      <w:proofErr w:type="gramEnd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>Организована работа с кадровым резервом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</w:t>
      </w:r>
      <w:r w:rsidR="00B356B3">
        <w:rPr>
          <w:rFonts w:ascii="Times New Roman" w:hAnsi="Times New Roman" w:cs="Times New Roman"/>
          <w:sz w:val="28"/>
          <w:szCs w:val="28"/>
        </w:rPr>
        <w:t>Дальневосточному</w:t>
      </w:r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</w:t>
      </w:r>
      <w:r w:rsidR="000833A3">
        <w:rPr>
          <w:rFonts w:ascii="Times New Roman" w:hAnsi="Times New Roman" w:cs="Times New Roman"/>
          <w:sz w:val="28"/>
          <w:szCs w:val="28"/>
        </w:rPr>
        <w:t>ия Роскомнадзора по Дальневосточному</w:t>
      </w:r>
      <w:bookmarkStart w:id="0" w:name="_GoBack"/>
      <w:bookmarkEnd w:id="0"/>
      <w:r w:rsidRPr="00F13A99">
        <w:rPr>
          <w:rFonts w:ascii="Times New Roman" w:hAnsi="Times New Roman" w:cs="Times New Roman"/>
          <w:sz w:val="28"/>
          <w:szCs w:val="28"/>
        </w:rPr>
        <w:t xml:space="preserve"> федеральному округу.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0833A3"/>
    <w:rsid w:val="00833223"/>
    <w:rsid w:val="00B356B3"/>
    <w:rsid w:val="00D44709"/>
    <w:rsid w:val="00F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Фёдоров Д.Л</cp:lastModifiedBy>
  <cp:revision>3</cp:revision>
  <dcterms:created xsi:type="dcterms:W3CDTF">2016-12-13T03:14:00Z</dcterms:created>
  <dcterms:modified xsi:type="dcterms:W3CDTF">2017-06-16T00:34:00Z</dcterms:modified>
</cp:coreProperties>
</file>